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rPr>
      </w:pPr>
      <w:r>
        <w:rPr>
          <w:rFonts w:hint="eastAsia"/>
        </w:rPr>
        <w:t>关于宁夏药监局信息化建设情况及</w:t>
      </w:r>
      <w:r>
        <w:rPr>
          <w:rFonts w:hint="eastAsia"/>
          <w:lang w:val="en-US" w:eastAsia="zh-CN"/>
        </w:rPr>
        <w:t>提请国家局支持相关事项的专题</w:t>
      </w:r>
      <w:r>
        <w:rPr>
          <w:rFonts w:hint="eastAsia"/>
        </w:rPr>
        <w:t>汇报</w:t>
      </w:r>
    </w:p>
    <w:p>
      <w:pPr>
        <w:ind w:firstLine="600"/>
        <w:rPr>
          <w:rFonts w:hint="eastAsia" w:ascii="华文仿宋" w:hAnsi="华文仿宋" w:eastAsia="华文仿宋"/>
          <w:sz w:val="30"/>
          <w:szCs w:val="30"/>
        </w:rPr>
      </w:pPr>
    </w:p>
    <w:p>
      <w:pPr>
        <w:ind w:left="0" w:leftChars="0" w:firstLine="0" w:firstLineChars="0"/>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国家药监局：</w:t>
      </w:r>
    </w:p>
    <w:p>
      <w:pPr>
        <w:ind w:firstLine="600"/>
        <w:rPr>
          <w:rFonts w:hint="eastAsia"/>
        </w:rPr>
      </w:pPr>
      <w:r>
        <w:rPr>
          <w:rFonts w:hint="eastAsia" w:ascii="华文仿宋" w:hAnsi="华文仿宋" w:eastAsia="华文仿宋"/>
          <w:sz w:val="30"/>
          <w:szCs w:val="30"/>
        </w:rPr>
        <w:t>“十四五”以来，宁夏药品智慧监管工作坚持以习近平新时代中国特色社会主义思想特别是习近平总书记关于网络强国的重要思想为指导，全面贯彻党的二十大和习近平总书记视察宁夏重要讲话指示批示精神，全面落实国家药监局各项工作总体安排及宁夏自治区政府关于药品监管工作的决策部署，紧密结合</w:t>
      </w:r>
      <w:r>
        <w:rPr>
          <w:rFonts w:hint="eastAsia" w:ascii="华文仿宋" w:hAnsi="华文仿宋" w:eastAsia="华文仿宋"/>
          <w:sz w:val="30"/>
          <w:szCs w:val="30"/>
          <w:lang w:val="en-US" w:eastAsia="zh-CN"/>
        </w:rPr>
        <w:t>宁夏</w:t>
      </w:r>
      <w:r>
        <w:rPr>
          <w:rFonts w:hint="eastAsia" w:ascii="华文仿宋" w:hAnsi="华文仿宋" w:eastAsia="华文仿宋"/>
          <w:sz w:val="30"/>
          <w:szCs w:val="30"/>
        </w:rPr>
        <w:t>药品安全形势和监管工作实际，持续深化改革，坚持依法行政，网络安全和信息化建设各项工作取得新发展和进步，</w:t>
      </w:r>
      <w:r>
        <w:rPr>
          <w:rFonts w:hint="eastAsia" w:ascii="华文仿宋" w:hAnsi="华文仿宋" w:eastAsia="华文仿宋"/>
          <w:sz w:val="30"/>
          <w:szCs w:val="30"/>
          <w:lang w:val="en-US" w:eastAsia="zh-CN"/>
        </w:rPr>
        <w:t>与此同时，随着信息化技术手段的不断发展，以“数字药监”为指引的“药品智慧监管数字化应用建设”需求日益紧迫，宁夏药品监管数字化应用推进工作也面临着严峻的考验，现将相关情况汇报如下</w:t>
      </w:r>
      <w:r>
        <w:rPr>
          <w:rFonts w:hint="eastAsia" w:ascii="华文仿宋" w:hAnsi="华文仿宋" w:eastAsia="华文仿宋"/>
          <w:sz w:val="30"/>
          <w:szCs w:val="30"/>
        </w:rPr>
        <w:t>：</w:t>
      </w:r>
    </w:p>
    <w:p>
      <w:pPr>
        <w:pStyle w:val="18"/>
        <w:numPr>
          <w:ilvl w:val="0"/>
          <w:numId w:val="0"/>
        </w:numPr>
        <w:rPr>
          <w:rFonts w:hint="eastAsia"/>
        </w:rPr>
      </w:pPr>
      <w:r>
        <w:rPr>
          <w:rFonts w:hint="eastAsia"/>
          <w:lang w:val="en-US" w:eastAsia="zh-CN"/>
        </w:rPr>
        <w:t xml:space="preserve">    一、</w:t>
      </w:r>
      <w:r>
        <w:rPr>
          <w:rFonts w:hint="eastAsia"/>
        </w:rPr>
        <w:t>总体情况</w:t>
      </w:r>
    </w:p>
    <w:p>
      <w:pPr>
        <w:pStyle w:val="12"/>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信息化建设情况</w:t>
      </w:r>
    </w:p>
    <w:p>
      <w:pPr>
        <w:rPr>
          <w:rFonts w:hint="eastAsia" w:ascii="华文仿宋" w:hAnsi="华文仿宋" w:eastAsia="华文仿宋"/>
          <w:sz w:val="30"/>
          <w:szCs w:val="30"/>
        </w:rPr>
      </w:pPr>
      <w:r>
        <w:rPr>
          <w:rFonts w:hint="eastAsia" w:ascii="华文仿宋" w:hAnsi="华文仿宋" w:eastAsia="华文仿宋"/>
          <w:b/>
          <w:bCs/>
          <w:sz w:val="30"/>
          <w:szCs w:val="30"/>
        </w:rPr>
        <w:t>“智慧监管”平台建设和服务方面</w:t>
      </w:r>
      <w:r>
        <w:rPr>
          <w:rFonts w:hint="eastAsia" w:ascii="华文仿宋" w:hAnsi="华文仿宋" w:eastAsia="华文仿宋"/>
          <w:sz w:val="30"/>
          <w:szCs w:val="30"/>
        </w:rPr>
        <w:t>，按照“机器换人、提升效能”的思路建成了宁夏药品智慧监管平台。截至当前，全区共有1156名各级监管人员在使用平台开展药品监管的全业务、全链条、全流程工作，智慧监管平台已成为破解人少事多难题的有力工具，并被国家药监局评定为全国药品“智慧监管”典型案例。</w:t>
      </w:r>
    </w:p>
    <w:p>
      <w:pPr>
        <w:rPr>
          <w:rFonts w:hint="eastAsia" w:ascii="华文仿宋" w:hAnsi="华文仿宋" w:eastAsia="华文仿宋"/>
          <w:sz w:val="30"/>
          <w:szCs w:val="30"/>
        </w:rPr>
      </w:pPr>
      <w:r>
        <w:rPr>
          <w:rFonts w:hint="eastAsia" w:ascii="华文仿宋" w:hAnsi="华文仿宋" w:eastAsia="华文仿宋"/>
          <w:b/>
          <w:bCs/>
          <w:sz w:val="30"/>
          <w:szCs w:val="30"/>
        </w:rPr>
        <w:t>“智慧监管”平台运维方面，</w:t>
      </w:r>
      <w:r>
        <w:rPr>
          <w:rFonts w:hint="eastAsia" w:ascii="华文仿宋" w:hAnsi="华文仿宋" w:eastAsia="华文仿宋"/>
          <w:sz w:val="30"/>
          <w:szCs w:val="30"/>
        </w:rPr>
        <w:t>自治区药品监管所有业务功能均集成在宁夏药品智慧监管平台，平台部署于自治区政务外网，本地机房没有服务器，平台功能性运维由建设</w:t>
      </w:r>
      <w:r>
        <w:rPr>
          <w:rFonts w:hint="eastAsia" w:ascii="华文仿宋" w:hAnsi="华文仿宋" w:eastAsia="华文仿宋"/>
          <w:sz w:val="30"/>
          <w:szCs w:val="30"/>
          <w:lang w:eastAsia="zh-Hans"/>
        </w:rPr>
        <w:t>技术</w:t>
      </w:r>
      <w:r>
        <w:rPr>
          <w:rFonts w:hint="eastAsia" w:ascii="华文仿宋" w:hAnsi="华文仿宋" w:eastAsia="华文仿宋"/>
          <w:sz w:val="30"/>
          <w:szCs w:val="30"/>
        </w:rPr>
        <w:t>方负责，网络安全运维由我局自行负责。</w:t>
      </w:r>
    </w:p>
    <w:p>
      <w:pPr>
        <w:rPr>
          <w:rFonts w:hint="eastAsia" w:ascii="华文仿宋" w:hAnsi="华文仿宋" w:eastAsia="华文仿宋"/>
          <w:sz w:val="30"/>
          <w:szCs w:val="30"/>
        </w:rPr>
      </w:pPr>
      <w:r>
        <w:rPr>
          <w:rFonts w:hint="eastAsia" w:ascii="华文仿宋" w:hAnsi="华文仿宋" w:eastAsia="华文仿宋"/>
          <w:b/>
          <w:bCs/>
          <w:sz w:val="30"/>
          <w:szCs w:val="30"/>
        </w:rPr>
        <w:t>“智慧监管”平台业务互联互通方面，</w:t>
      </w:r>
      <w:r>
        <w:rPr>
          <w:rFonts w:hint="eastAsia" w:ascii="华文仿宋" w:hAnsi="华文仿宋" w:eastAsia="华文仿宋"/>
          <w:sz w:val="30"/>
          <w:szCs w:val="30"/>
        </w:rPr>
        <w:t>已完成与国家药监局综合监管门户对接，数据资源目录正在完善，同时积极向国家药品共享平台上传数据；打通自治区政务数据共享门户渠道，与自治区数据中心所属“互联网+监管”、政改办所属宁夏政务服务网、发改委所属信用中国（宁夏）、卫健委所属疫苗追溯等信息化平台实现数据共享。</w:t>
      </w:r>
    </w:p>
    <w:p>
      <w:pPr>
        <w:pStyle w:val="18"/>
        <w:numPr>
          <w:ilvl w:val="0"/>
          <w:numId w:val="0"/>
        </w:numPr>
        <w:spacing w:line="560" w:lineRule="exact"/>
        <w:ind w:firstLine="640" w:firstLineChars="200"/>
        <w:rPr>
          <w:rFonts w:hint="eastAsia" w:ascii="楷体" w:hAnsi="楷体" w:eastAsia="楷体" w:cs="楷体"/>
          <w:b w:val="0"/>
          <w:bCs/>
        </w:rPr>
      </w:pPr>
      <w:r>
        <w:rPr>
          <w:rFonts w:hint="eastAsia" w:ascii="楷体" w:hAnsi="楷体" w:eastAsia="楷体" w:cs="楷体"/>
          <w:b w:val="0"/>
          <w:bCs/>
          <w:lang w:val="en-US" w:eastAsia="zh-CN"/>
        </w:rPr>
        <w:t>（二）</w:t>
      </w:r>
      <w:r>
        <w:rPr>
          <w:rFonts w:hint="eastAsia" w:ascii="楷体" w:hAnsi="楷体" w:eastAsia="楷体" w:cs="楷体"/>
          <w:b w:val="0"/>
          <w:bCs/>
        </w:rPr>
        <w:t>信息化建设成效与应用情况</w:t>
      </w:r>
    </w:p>
    <w:p>
      <w:pPr>
        <w:ind w:firstLine="600"/>
        <w:rPr>
          <w:rFonts w:hint="eastAsia" w:ascii="华文仿宋" w:hAnsi="华文仿宋" w:eastAsia="华文仿宋" w:cs="华文仿宋"/>
          <w:sz w:val="30"/>
          <w:szCs w:val="30"/>
          <w:lang w:eastAsia="zh-CN"/>
        </w:rPr>
      </w:pPr>
      <w:r>
        <w:rPr>
          <w:rFonts w:hint="eastAsia" w:ascii="华文仿宋" w:hAnsi="华文仿宋" w:eastAsia="华文仿宋"/>
          <w:sz w:val="30"/>
          <w:szCs w:val="30"/>
        </w:rPr>
        <w:t>宁夏药品智慧监管平台（含“阳光药店”信息系统）</w:t>
      </w:r>
      <w:r>
        <w:rPr>
          <w:rFonts w:hint="eastAsia" w:ascii="华文仿宋" w:hAnsi="华文仿宋" w:eastAsia="华文仿宋"/>
          <w:sz w:val="30"/>
          <w:szCs w:val="30"/>
          <w:lang w:eastAsia="zh-CN"/>
        </w:rPr>
        <w:t>的</w:t>
      </w:r>
      <w:r>
        <w:rPr>
          <w:rFonts w:hint="eastAsia" w:ascii="华文仿宋" w:hAnsi="华文仿宋" w:eastAsia="华文仿宋"/>
          <w:sz w:val="30"/>
          <w:szCs w:val="30"/>
          <w:lang w:val="en-US" w:eastAsia="zh-CN"/>
        </w:rPr>
        <w:t>建设推进</w:t>
      </w:r>
      <w:r>
        <w:rPr>
          <w:rFonts w:hint="eastAsia" w:ascii="华文仿宋" w:hAnsi="华文仿宋" w:eastAsia="华文仿宋"/>
          <w:sz w:val="30"/>
          <w:szCs w:val="30"/>
        </w:rPr>
        <w:t>，构建</w:t>
      </w:r>
      <w:r>
        <w:rPr>
          <w:rFonts w:hint="eastAsia" w:ascii="华文仿宋" w:hAnsi="华文仿宋" w:eastAsia="华文仿宋"/>
          <w:sz w:val="30"/>
          <w:szCs w:val="30"/>
          <w:lang w:eastAsia="zh-CN"/>
        </w:rPr>
        <w:t>了</w:t>
      </w:r>
      <w:r>
        <w:rPr>
          <w:rFonts w:hint="eastAsia" w:ascii="华文仿宋" w:hAnsi="华文仿宋" w:eastAsia="华文仿宋"/>
          <w:sz w:val="30"/>
          <w:szCs w:val="30"/>
        </w:rPr>
        <w:t>全自治区统一的药品安全准入、监管、执法、检验业务标准体系，</w:t>
      </w:r>
      <w:r>
        <w:rPr>
          <w:rFonts w:hint="eastAsia" w:ascii="华文仿宋" w:hAnsi="华文仿宋" w:eastAsia="华文仿宋"/>
          <w:sz w:val="30"/>
          <w:szCs w:val="30"/>
          <w:lang w:val="en-US" w:eastAsia="zh-CN"/>
        </w:rPr>
        <w:t>在</w:t>
      </w:r>
      <w:r>
        <w:rPr>
          <w:rFonts w:hint="eastAsia" w:ascii="华文仿宋" w:hAnsi="华文仿宋" w:eastAsia="华文仿宋"/>
          <w:sz w:val="30"/>
          <w:szCs w:val="30"/>
        </w:rPr>
        <w:t>满足宁夏药品综合监管业务</w:t>
      </w:r>
      <w:r>
        <w:rPr>
          <w:rFonts w:hint="eastAsia" w:ascii="华文仿宋" w:hAnsi="华文仿宋" w:eastAsia="华文仿宋"/>
          <w:sz w:val="30"/>
          <w:szCs w:val="30"/>
          <w:lang w:val="en-US" w:eastAsia="zh-CN"/>
        </w:rPr>
        <w:t>需要的同时</w:t>
      </w:r>
      <w:r>
        <w:rPr>
          <w:rFonts w:hint="eastAsia" w:ascii="华文仿宋" w:hAnsi="华文仿宋" w:eastAsia="华文仿宋"/>
          <w:sz w:val="30"/>
          <w:szCs w:val="30"/>
        </w:rPr>
        <w:t>，多措并举</w:t>
      </w:r>
      <w:r>
        <w:rPr>
          <w:rFonts w:hint="eastAsia" w:ascii="华文仿宋" w:hAnsi="华文仿宋" w:eastAsia="华文仿宋"/>
          <w:sz w:val="30"/>
          <w:szCs w:val="30"/>
          <w:lang w:eastAsia="zh-CN"/>
        </w:rPr>
        <w:t>的</w:t>
      </w:r>
      <w:r>
        <w:rPr>
          <w:rFonts w:hint="eastAsia" w:ascii="华文仿宋" w:hAnsi="华文仿宋" w:eastAsia="华文仿宋"/>
          <w:sz w:val="30"/>
          <w:szCs w:val="30"/>
        </w:rPr>
        <w:t>提升</w:t>
      </w:r>
      <w:r>
        <w:rPr>
          <w:rFonts w:hint="eastAsia" w:ascii="华文仿宋" w:hAnsi="华文仿宋" w:eastAsia="华文仿宋"/>
          <w:sz w:val="30"/>
          <w:szCs w:val="30"/>
          <w:lang w:eastAsia="zh-CN"/>
        </w:rPr>
        <w:t>了</w:t>
      </w:r>
      <w:r>
        <w:rPr>
          <w:rFonts w:hint="eastAsia" w:ascii="华文仿宋" w:hAnsi="华文仿宋" w:eastAsia="华文仿宋"/>
          <w:sz w:val="30"/>
          <w:szCs w:val="30"/>
        </w:rPr>
        <w:t>监管能力，保障用药安全和规范药品生产经营秩序。</w:t>
      </w:r>
      <w:r>
        <w:rPr>
          <w:rFonts w:hint="eastAsia" w:ascii="华文仿宋" w:hAnsi="华文仿宋" w:eastAsia="华文仿宋"/>
          <w:sz w:val="30"/>
          <w:szCs w:val="30"/>
          <w:lang w:val="en-US" w:eastAsia="zh-CN"/>
        </w:rPr>
        <w:t>其中，</w:t>
      </w:r>
      <w:r>
        <w:rPr>
          <w:rFonts w:hint="eastAsia" w:ascii="华文仿宋" w:hAnsi="华文仿宋" w:eastAsia="华文仿宋"/>
          <w:b/>
          <w:bCs/>
          <w:sz w:val="30"/>
          <w:szCs w:val="30"/>
        </w:rPr>
        <w:t>行政审批模块</w:t>
      </w:r>
      <w:r>
        <w:rPr>
          <w:rFonts w:hint="eastAsia" w:ascii="华文仿宋" w:hAnsi="华文仿宋" w:eastAsia="华文仿宋"/>
          <w:b w:val="0"/>
          <w:bCs w:val="0"/>
          <w:sz w:val="30"/>
          <w:szCs w:val="30"/>
          <w:lang w:val="en-US" w:eastAsia="zh-CN"/>
        </w:rPr>
        <w:t>已完成</w:t>
      </w:r>
      <w:r>
        <w:rPr>
          <w:rFonts w:hint="eastAsia" w:ascii="华文仿宋" w:hAnsi="华文仿宋" w:eastAsia="华文仿宋"/>
          <w:sz w:val="30"/>
          <w:szCs w:val="30"/>
        </w:rPr>
        <w:t>158个许可备案事项的升级改造，实现与自治区政务服务网的全面对接，促进各部门之间信息共享，深化简政放权、放管结合、优化政务服务</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日常监管模块</w:t>
      </w:r>
      <w:r>
        <w:rPr>
          <w:rFonts w:hint="eastAsia" w:ascii="华文仿宋" w:hAnsi="华文仿宋" w:eastAsia="华文仿宋"/>
          <w:b w:val="0"/>
          <w:bCs w:val="0"/>
          <w:sz w:val="30"/>
          <w:szCs w:val="30"/>
          <w:lang w:val="en-US" w:eastAsia="zh-CN"/>
        </w:rPr>
        <w:t>已完成</w:t>
      </w:r>
      <w:r>
        <w:rPr>
          <w:rFonts w:ascii="华文仿宋" w:hAnsi="华文仿宋" w:eastAsia="华文仿宋"/>
          <w:sz w:val="30"/>
          <w:szCs w:val="30"/>
        </w:rPr>
        <w:t>日常检查、专项检查、双随机检查等日常监管</w:t>
      </w:r>
      <w:r>
        <w:rPr>
          <w:rFonts w:hint="eastAsia" w:ascii="华文仿宋" w:hAnsi="华文仿宋" w:eastAsia="华文仿宋"/>
          <w:sz w:val="30"/>
          <w:szCs w:val="30"/>
        </w:rPr>
        <w:t>75852次，发现问题勒令企业限期整改、约谈等处罚6874次</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稽查执法模块</w:t>
      </w:r>
      <w:r>
        <w:rPr>
          <w:rFonts w:hint="eastAsia" w:ascii="华文仿宋" w:hAnsi="华文仿宋" w:eastAsia="华文仿宋"/>
          <w:b w:val="0"/>
          <w:bCs w:val="0"/>
          <w:sz w:val="30"/>
          <w:szCs w:val="30"/>
          <w:lang w:val="en-US" w:eastAsia="zh-CN"/>
        </w:rPr>
        <w:t>已</w:t>
      </w:r>
      <w:r>
        <w:rPr>
          <w:rFonts w:hint="eastAsia" w:ascii="华文仿宋" w:hAnsi="华文仿宋" w:eastAsia="华文仿宋"/>
          <w:b w:val="0"/>
          <w:bCs w:val="0"/>
          <w:sz w:val="30"/>
          <w:szCs w:val="30"/>
        </w:rPr>
        <w:t>实</w:t>
      </w:r>
      <w:r>
        <w:rPr>
          <w:rFonts w:hint="eastAsia" w:ascii="华文仿宋" w:hAnsi="华文仿宋" w:eastAsia="华文仿宋"/>
          <w:sz w:val="30"/>
          <w:szCs w:val="30"/>
        </w:rPr>
        <w:t>现全套稽查执法文书的自动生成和编辑、打印、扫描、存储、检索功能，并实现对案件办理过程的查看、汇总分析和监督管理</w:t>
      </w:r>
      <w:r>
        <w:rPr>
          <w:rFonts w:hint="eastAsia" w:ascii="华文仿宋" w:hAnsi="华文仿宋" w:eastAsia="华文仿宋"/>
          <w:sz w:val="30"/>
          <w:szCs w:val="30"/>
          <w:lang w:eastAsia="zh-CN"/>
        </w:rPr>
        <w:t>，</w:t>
      </w:r>
      <w:r>
        <w:rPr>
          <w:rFonts w:hint="eastAsia" w:ascii="华文仿宋" w:hAnsi="华文仿宋" w:eastAsia="华文仿宋"/>
          <w:sz w:val="30"/>
          <w:szCs w:val="30"/>
        </w:rPr>
        <w:t>系统中已录入立案数1694件，案件录入率逐年提高</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检验检测模块</w:t>
      </w:r>
      <w:r>
        <w:rPr>
          <w:rFonts w:hint="eastAsia" w:ascii="华文仿宋" w:hAnsi="华文仿宋" w:eastAsia="华文仿宋"/>
          <w:sz w:val="30"/>
          <w:szCs w:val="30"/>
        </w:rPr>
        <w:t>在满足宁夏回族自治区药监局抽检业务需求的基础上，实现抽检业务与信息化的有效结合，系统运行5年来，已完成药品抽样5119批次、医疗器械抽样462批次，护妆品抽样417批次，100%完成省抽任务</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信用管理模块</w:t>
      </w:r>
      <w:r>
        <w:rPr>
          <w:rFonts w:hint="eastAsia" w:ascii="华文仿宋" w:hAnsi="华文仿宋" w:eastAsia="华文仿宋"/>
          <w:sz w:val="30"/>
          <w:szCs w:val="30"/>
        </w:rPr>
        <w:t>建立“一企一档”的信用管理档案，形成自治区统一的药品信用管理系统</w:t>
      </w:r>
      <w:r>
        <w:rPr>
          <w:rFonts w:hint="eastAsia" w:ascii="华文仿宋" w:hAnsi="华文仿宋" w:eastAsia="华文仿宋"/>
          <w:sz w:val="30"/>
          <w:szCs w:val="30"/>
          <w:lang w:eastAsia="zh-CN"/>
        </w:rPr>
        <w:t>，</w:t>
      </w:r>
      <w:r>
        <w:rPr>
          <w:rFonts w:hint="eastAsia" w:ascii="华文仿宋" w:hAnsi="华文仿宋" w:eastAsia="华文仿宋"/>
          <w:sz w:val="30"/>
          <w:szCs w:val="30"/>
        </w:rPr>
        <w:t>系统2021年上线</w:t>
      </w:r>
      <w:r>
        <w:rPr>
          <w:rFonts w:hint="eastAsia" w:ascii="华文仿宋" w:hAnsi="华文仿宋" w:eastAsia="华文仿宋"/>
          <w:sz w:val="30"/>
          <w:szCs w:val="30"/>
          <w:lang w:val="en-US" w:eastAsia="zh-CN"/>
        </w:rPr>
        <w:t>至今</w:t>
      </w:r>
      <w:r>
        <w:rPr>
          <w:rFonts w:hint="eastAsia" w:ascii="华文仿宋" w:hAnsi="华文仿宋" w:eastAsia="华文仿宋"/>
          <w:sz w:val="30"/>
          <w:szCs w:val="30"/>
        </w:rPr>
        <w:t>已先后对</w:t>
      </w:r>
      <w:r>
        <w:rPr>
          <w:rFonts w:hint="eastAsia" w:ascii="华文仿宋" w:hAnsi="华文仿宋" w:eastAsia="华文仿宋"/>
          <w:sz w:val="30"/>
          <w:szCs w:val="30"/>
          <w:lang w:val="en-US" w:eastAsia="zh-CN"/>
        </w:rPr>
        <w:t>5000</w:t>
      </w:r>
      <w:r>
        <w:rPr>
          <w:rFonts w:hint="eastAsia" w:ascii="华文仿宋" w:hAnsi="华文仿宋" w:eastAsia="华文仿宋"/>
          <w:sz w:val="30"/>
          <w:szCs w:val="30"/>
        </w:rPr>
        <w:t>多家企业进行信用监管，并生成信用档案，建档率达90.3%</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信息监测模块</w:t>
      </w:r>
      <w:r>
        <w:rPr>
          <w:rFonts w:ascii="华文仿宋" w:hAnsi="华文仿宋" w:eastAsia="华文仿宋"/>
          <w:sz w:val="30"/>
          <w:szCs w:val="30"/>
        </w:rPr>
        <w:t>实现舆情监测的全流程服务功能，从数据采集、分析预警、舆情应用全流程服务</w:t>
      </w:r>
      <w:r>
        <w:rPr>
          <w:rFonts w:hint="eastAsia" w:ascii="华文仿宋" w:hAnsi="华文仿宋" w:eastAsia="华文仿宋"/>
          <w:sz w:val="30"/>
          <w:szCs w:val="30"/>
          <w:lang w:eastAsia="zh-CN"/>
        </w:rPr>
        <w:t>，</w:t>
      </w:r>
      <w:r>
        <w:rPr>
          <w:rFonts w:hint="eastAsia" w:ascii="华文仿宋" w:hAnsi="华文仿宋" w:eastAsia="华文仿宋"/>
          <w:sz w:val="30"/>
          <w:szCs w:val="30"/>
        </w:rPr>
        <w:t>2023年共发布舆情日报261期，24年截止目前已发布舆情日报75期</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药品追溯模块</w:t>
      </w:r>
      <w:r>
        <w:rPr>
          <w:rFonts w:hint="eastAsia" w:ascii="华文仿宋" w:hAnsi="华文仿宋" w:eastAsia="华文仿宋"/>
          <w:sz w:val="30"/>
          <w:szCs w:val="30"/>
        </w:rPr>
        <w:t>对化学药品和中药饮片</w:t>
      </w:r>
      <w:r>
        <w:rPr>
          <w:rFonts w:hint="eastAsia" w:ascii="华文仿宋" w:hAnsi="华文仿宋" w:eastAsia="华文仿宋"/>
          <w:sz w:val="30"/>
          <w:szCs w:val="30"/>
          <w:lang w:val="en-US" w:eastAsia="zh-CN"/>
        </w:rPr>
        <w:t>进行</w:t>
      </w:r>
      <w:r>
        <w:rPr>
          <w:rFonts w:hint="eastAsia" w:ascii="华文仿宋" w:hAnsi="华文仿宋" w:eastAsia="华文仿宋"/>
          <w:sz w:val="30"/>
          <w:szCs w:val="30"/>
        </w:rPr>
        <w:t>追溯，实现宁夏药品智慧监管平台追溯数据多维度的统计、分析和链路的生成</w:t>
      </w:r>
      <w:r>
        <w:rPr>
          <w:rFonts w:hint="eastAsia" w:ascii="华文仿宋" w:hAnsi="华文仿宋" w:eastAsia="华文仿宋"/>
          <w:sz w:val="30"/>
          <w:szCs w:val="30"/>
          <w:lang w:eastAsia="zh-CN"/>
        </w:rPr>
        <w:t>，</w:t>
      </w:r>
      <w:r>
        <w:rPr>
          <w:rFonts w:hint="eastAsia" w:ascii="华文仿宋" w:hAnsi="华文仿宋" w:eastAsia="华文仿宋"/>
          <w:sz w:val="30"/>
          <w:szCs w:val="30"/>
        </w:rPr>
        <w:t>截至目前已接收分析区内7家化学药品生产企业的96种药品逾7900万条追溯数据；全区共19家中药饮片生产企业都已入驻系统，其中14家企业生产的380余种中药饮片已赋码260万余条</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大数据分析模块</w:t>
      </w:r>
      <w:r>
        <w:rPr>
          <w:rFonts w:hint="eastAsia" w:ascii="华文仿宋" w:hAnsi="华文仿宋" w:eastAsia="华文仿宋"/>
          <w:sz w:val="30"/>
          <w:szCs w:val="30"/>
        </w:rPr>
        <w:t>涵盖大数据数据库、BI分析、敏捷式数据分析、大数据可视化等功能，实现了药械化监管各类基础数据、业务数据和决策支持数据的</w:t>
      </w:r>
      <w:r>
        <w:rPr>
          <w:rFonts w:hint="eastAsia" w:ascii="华文仿宋" w:hAnsi="华文仿宋" w:eastAsia="华文仿宋"/>
          <w:sz w:val="30"/>
          <w:szCs w:val="30"/>
          <w:lang w:val="en-US" w:eastAsia="zh-CN"/>
        </w:rPr>
        <w:t>初步</w:t>
      </w:r>
      <w:r>
        <w:rPr>
          <w:rFonts w:hint="eastAsia" w:ascii="华文仿宋" w:hAnsi="华文仿宋" w:eastAsia="华文仿宋"/>
          <w:sz w:val="30"/>
          <w:szCs w:val="30"/>
        </w:rPr>
        <w:t>汇聚</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阳光药店模块</w:t>
      </w:r>
      <w:r>
        <w:rPr>
          <w:rFonts w:hint="eastAsia" w:ascii="华文仿宋" w:hAnsi="华文仿宋" w:eastAsia="华文仿宋"/>
          <w:sz w:val="30"/>
          <w:szCs w:val="30"/>
        </w:rPr>
        <w:t>已将全区4669家药店及175家批发、连锁总部纳入阳光药店信息系统，通过阳光药店验收的药店数达4568家，占比97.8%</w:t>
      </w:r>
      <w:r>
        <w:rPr>
          <w:rFonts w:hint="eastAsia" w:ascii="华文仿宋" w:hAnsi="华文仿宋" w:eastAsia="华文仿宋"/>
          <w:sz w:val="30"/>
          <w:szCs w:val="30"/>
          <w:lang w:eastAsia="zh-CN"/>
        </w:rPr>
        <w:t>，</w:t>
      </w:r>
      <w:r>
        <w:rPr>
          <w:rFonts w:hint="eastAsia" w:ascii="华文仿宋" w:hAnsi="华文仿宋" w:eastAsia="华文仿宋"/>
          <w:sz w:val="30"/>
          <w:szCs w:val="30"/>
        </w:rPr>
        <w:t>有效推动全区药品领域监管业务的开展，使我局在信息化监管工作中走在前列</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药械妆培训考核模块</w:t>
      </w:r>
      <w:r>
        <w:rPr>
          <w:rFonts w:hint="eastAsia" w:ascii="华文仿宋" w:hAnsi="华文仿宋" w:eastAsia="华文仿宋"/>
          <w:sz w:val="30"/>
          <w:szCs w:val="30"/>
        </w:rPr>
        <w:t>实现灵活在线选课、学习、考试、查询等一系列线上培训流程，并对人员和企业信息进行统计收集和整理分析，为建立药械妆从业人员、检查员档案提供数据基础</w:t>
      </w:r>
      <w:r>
        <w:rPr>
          <w:rFonts w:hint="eastAsia" w:ascii="华文仿宋" w:hAnsi="华文仿宋" w:eastAsia="华文仿宋"/>
          <w:sz w:val="30"/>
          <w:szCs w:val="30"/>
          <w:lang w:eastAsia="zh-CN"/>
        </w:rPr>
        <w:t>；</w:t>
      </w:r>
      <w:r>
        <w:rPr>
          <w:rFonts w:hint="eastAsia" w:ascii="华文仿宋" w:hAnsi="华文仿宋" w:eastAsia="华文仿宋"/>
          <w:b/>
          <w:bCs/>
          <w:sz w:val="30"/>
          <w:szCs w:val="30"/>
        </w:rPr>
        <w:t>医疗器械UDI追溯模块</w:t>
      </w:r>
      <w:r>
        <w:rPr>
          <w:rFonts w:hint="eastAsia" w:ascii="华文仿宋" w:hAnsi="华文仿宋" w:eastAsia="华文仿宋"/>
          <w:sz w:val="30"/>
          <w:szCs w:val="30"/>
        </w:rPr>
        <w:t>提高</w:t>
      </w:r>
      <w:r>
        <w:rPr>
          <w:rFonts w:hint="eastAsia" w:ascii="华文仿宋" w:hAnsi="华文仿宋" w:eastAsia="华文仿宋"/>
          <w:sz w:val="30"/>
          <w:szCs w:val="30"/>
          <w:lang w:eastAsia="zh-CN"/>
        </w:rPr>
        <w:t>了</w:t>
      </w:r>
      <w:r>
        <w:rPr>
          <w:rFonts w:hint="eastAsia" w:ascii="华文仿宋" w:hAnsi="华文仿宋" w:eastAsia="华文仿宋"/>
          <w:sz w:val="30"/>
          <w:szCs w:val="30"/>
        </w:rPr>
        <w:t>医疗器械的溯源能力、监管能力和风险控制能力，便于医疗器械召回，提高患者使用安全、改善医疗器械供应链管理、促进医疗领域的高质量发展。目前系统面向企业端、医院端及监管端的功能均已开发完成，并以中卫为试点，采取与卫健委及医保局联动的方式，完成中卫全市42家医疗器械经营企业、11家二级以上公立医疗机构、322万多条数据信息的共享汇聚，同步于2023年11月在中卫市举办《全区医疗器械唯一标识试点工作现场观摩会》进行经验总结，2024年下发《关于推进医疗器械唯一标识应用工作的通知》，</w:t>
      </w:r>
      <w:r>
        <w:rPr>
          <w:rFonts w:hint="eastAsia" w:ascii="华文仿宋" w:hAnsi="华文仿宋" w:eastAsia="华文仿宋"/>
          <w:sz w:val="30"/>
          <w:szCs w:val="30"/>
          <w:lang w:eastAsia="zh-Hans"/>
        </w:rPr>
        <w:t>制定宁夏医疗器械唯一标识接口规范，进一步</w:t>
      </w:r>
      <w:r>
        <w:rPr>
          <w:rFonts w:hint="eastAsia" w:ascii="华文仿宋" w:hAnsi="华文仿宋" w:eastAsia="华文仿宋"/>
          <w:sz w:val="30"/>
          <w:szCs w:val="30"/>
        </w:rPr>
        <w:t>实现</w:t>
      </w:r>
      <w:r>
        <w:rPr>
          <w:rFonts w:hint="eastAsia" w:ascii="华文仿宋" w:hAnsi="华文仿宋" w:eastAsia="华文仿宋"/>
          <w:sz w:val="30"/>
          <w:szCs w:val="30"/>
          <w:lang w:eastAsia="zh-Hans"/>
        </w:rPr>
        <w:t>区、市两级平台的监管数据规范化对接</w:t>
      </w:r>
      <w:r>
        <w:rPr>
          <w:rFonts w:hint="eastAsia" w:ascii="华文仿宋" w:hAnsi="华文仿宋" w:eastAsia="华文仿宋"/>
          <w:sz w:val="30"/>
          <w:szCs w:val="30"/>
        </w:rPr>
        <w:t>的同时，组织自治区各级地市、县（区）全面开展UDI应用推广</w:t>
      </w:r>
      <w:r>
        <w:rPr>
          <w:rFonts w:hint="eastAsia" w:ascii="华文仿宋" w:hAnsi="华文仿宋" w:eastAsia="华文仿宋"/>
          <w:sz w:val="30"/>
          <w:szCs w:val="30"/>
          <w:lang w:eastAsia="zh-CN"/>
        </w:rPr>
        <w:t>。</w:t>
      </w:r>
    </w:p>
    <w:p>
      <w:pPr>
        <w:pStyle w:val="18"/>
        <w:numPr>
          <w:ilvl w:val="0"/>
          <w:numId w:val="0"/>
        </w:numPr>
        <w:spacing w:line="560" w:lineRule="exact"/>
        <w:ind w:firstLine="640" w:firstLineChars="200"/>
        <w:rPr>
          <w:rFonts w:hint="eastAsia" w:ascii="楷体" w:hAnsi="楷体" w:eastAsia="楷体" w:cs="楷体"/>
          <w:b w:val="0"/>
          <w:bCs/>
        </w:rPr>
      </w:pPr>
      <w:r>
        <w:rPr>
          <w:rFonts w:hint="eastAsia" w:ascii="楷体" w:hAnsi="楷体" w:eastAsia="楷体" w:cs="楷体"/>
          <w:b w:val="0"/>
          <w:bCs/>
          <w:lang w:val="en-US" w:eastAsia="zh-CN"/>
        </w:rPr>
        <w:t>（三）</w:t>
      </w:r>
      <w:r>
        <w:rPr>
          <w:rFonts w:hint="eastAsia" w:ascii="楷体" w:hAnsi="楷体" w:eastAsia="楷体" w:cs="楷体"/>
          <w:b w:val="0"/>
          <w:bCs/>
        </w:rPr>
        <w:t>下一步推进思路</w:t>
      </w:r>
    </w:p>
    <w:p>
      <w:pPr>
        <w:ind w:firstLine="420"/>
        <w:rPr>
          <w:rFonts w:hint="default" w:ascii="仿宋" w:hAnsi="仿宋" w:eastAsia="仿宋"/>
          <w:sz w:val="32"/>
          <w:szCs w:val="32"/>
          <w:lang w:val="en-US" w:eastAsia="zh-CN"/>
        </w:rPr>
      </w:pPr>
      <w:r>
        <w:rPr>
          <w:rFonts w:hint="eastAsia"/>
        </w:rPr>
        <w:t xml:space="preserve"> </w:t>
      </w:r>
      <w:r>
        <w:rPr>
          <w:rFonts w:hint="eastAsia" w:ascii="仿宋" w:hAnsi="仿宋" w:eastAsia="仿宋"/>
          <w:b w:val="0"/>
          <w:bCs w:val="0"/>
          <w:sz w:val="32"/>
          <w:szCs w:val="32"/>
          <w:lang w:val="en-US" w:eastAsia="zh-CN"/>
        </w:rPr>
        <w:t>为进一步加强宁夏药品智慧监管向数字化、智能化、便捷化推进，发挥宁夏数字监管区市一体化统筹发展优势，不断挖掘药品监管数字化应用场景，发挥药品智慧监管的政务服务优势和数据应用优势，宁夏药监局制定了《宁夏药品智慧监管三年重点工作》方案，明确了</w:t>
      </w:r>
      <w:r>
        <w:rPr>
          <w:rFonts w:hint="eastAsia" w:ascii="仿宋" w:hAnsi="仿宋" w:eastAsia="仿宋"/>
          <w:b/>
          <w:bCs/>
          <w:sz w:val="32"/>
          <w:szCs w:val="32"/>
          <w:lang w:val="en-US" w:eastAsia="zh-CN"/>
        </w:rPr>
        <w:t>“六个重点”</w:t>
      </w:r>
      <w:r>
        <w:rPr>
          <w:rFonts w:hint="eastAsia" w:ascii="仿宋" w:hAnsi="仿宋" w:eastAsia="仿宋"/>
          <w:b w:val="0"/>
          <w:bCs w:val="0"/>
          <w:sz w:val="32"/>
          <w:szCs w:val="32"/>
          <w:lang w:val="en-US" w:eastAsia="zh-CN"/>
        </w:rPr>
        <w:t>目标，</w:t>
      </w:r>
      <w:r>
        <w:rPr>
          <w:rFonts w:hint="eastAsia" w:ascii="仿宋" w:hAnsi="仿宋" w:eastAsia="仿宋"/>
          <w:b/>
          <w:bCs/>
          <w:sz w:val="32"/>
          <w:szCs w:val="32"/>
          <w:lang w:val="en-US" w:eastAsia="zh-CN"/>
        </w:rPr>
        <w:t>一</w:t>
      </w:r>
      <w:r>
        <w:rPr>
          <w:rFonts w:hint="eastAsia" w:ascii="仿宋" w:hAnsi="仿宋" w:eastAsia="仿宋"/>
          <w:b/>
          <w:bCs/>
          <w:sz w:val="32"/>
          <w:szCs w:val="32"/>
        </w:rPr>
        <w:t>是</w:t>
      </w:r>
      <w:r>
        <w:rPr>
          <w:rFonts w:hint="eastAsia" w:ascii="仿宋" w:hAnsi="仿宋" w:eastAsia="仿宋"/>
          <w:sz w:val="32"/>
          <w:szCs w:val="32"/>
        </w:rPr>
        <w:t>对标国家局建设要求，结合自治区实际需要，在现有“宁夏药品智慧监管平台”的基础上，不断加强全区一体化的数据资源体系和应用支撑体系建设，打通监管链路中关键用户的业务流、数据流和信息流，</w:t>
      </w:r>
      <w:r>
        <w:rPr>
          <w:rFonts w:hint="eastAsia" w:ascii="仿宋" w:hAnsi="仿宋" w:eastAsia="仿宋" w:cs="仿宋"/>
          <w:bCs/>
          <w:sz w:val="32"/>
          <w:szCs w:val="32"/>
        </w:rPr>
        <w:t>达到数据“内部联通、外部共享”的目的；</w:t>
      </w:r>
      <w:r>
        <w:rPr>
          <w:rFonts w:hint="eastAsia" w:ascii="仿宋" w:hAnsi="仿宋" w:eastAsia="仿宋" w:cs="仿宋"/>
          <w:b/>
          <w:bCs w:val="0"/>
          <w:sz w:val="32"/>
          <w:szCs w:val="32"/>
        </w:rPr>
        <w:t>二是</w:t>
      </w:r>
      <w:r>
        <w:rPr>
          <w:rFonts w:hint="eastAsia" w:ascii="仿宋" w:hAnsi="仿宋" w:eastAsia="仿宋"/>
          <w:sz w:val="32"/>
          <w:szCs w:val="32"/>
        </w:rPr>
        <w:t>逐步升级并完善相关应用服务能力，</w:t>
      </w:r>
      <w:r>
        <w:rPr>
          <w:rFonts w:hint="eastAsia" w:ascii="仿宋" w:hAnsi="仿宋" w:eastAsia="仿宋" w:cs="仿宋"/>
          <w:bCs/>
          <w:sz w:val="32"/>
          <w:szCs w:val="32"/>
        </w:rPr>
        <w:t>加强成熟应用使用与推广；</w:t>
      </w:r>
      <w:r>
        <w:rPr>
          <w:rFonts w:hint="eastAsia" w:ascii="仿宋" w:hAnsi="仿宋" w:eastAsia="仿宋" w:cs="仿宋"/>
          <w:b/>
          <w:bCs w:val="0"/>
          <w:sz w:val="32"/>
          <w:szCs w:val="32"/>
        </w:rPr>
        <w:t>三是</w:t>
      </w:r>
      <w:r>
        <w:rPr>
          <w:rFonts w:hint="eastAsia" w:ascii="仿宋" w:hAnsi="仿宋" w:eastAsia="仿宋"/>
          <w:sz w:val="32"/>
          <w:szCs w:val="32"/>
        </w:rPr>
        <w:t>统一标准规范和安全机制，形成自治区、市、县（区）三级监管与服务联动，构建全区药品智慧监管“一盘棋”；</w:t>
      </w:r>
      <w:r>
        <w:rPr>
          <w:rFonts w:hint="eastAsia" w:ascii="仿宋" w:hAnsi="仿宋" w:eastAsia="仿宋"/>
          <w:b/>
          <w:bCs/>
          <w:sz w:val="32"/>
          <w:szCs w:val="32"/>
        </w:rPr>
        <w:t>四是</w:t>
      </w:r>
      <w:r>
        <w:rPr>
          <w:rFonts w:hint="eastAsia" w:ascii="仿宋" w:hAnsi="仿宋" w:eastAsia="仿宋"/>
          <w:sz w:val="32"/>
          <w:szCs w:val="32"/>
        </w:rPr>
        <w:t>引入社会力量，充分整合资源，通过降本增效的方式，深入推进面向企业、医疗机构和居民的多种应用服务并发挥其“长尾效应”；</w:t>
      </w:r>
      <w:r>
        <w:rPr>
          <w:rFonts w:hint="eastAsia" w:ascii="仿宋" w:hAnsi="仿宋" w:eastAsia="仿宋"/>
          <w:b/>
          <w:bCs/>
          <w:sz w:val="32"/>
          <w:szCs w:val="32"/>
        </w:rPr>
        <w:t>五是</w:t>
      </w:r>
      <w:r>
        <w:rPr>
          <w:rFonts w:hint="eastAsia" w:ascii="仿宋" w:hAnsi="仿宋" w:eastAsia="仿宋"/>
          <w:sz w:val="32"/>
          <w:szCs w:val="32"/>
        </w:rPr>
        <w:t>围绕国家和自治区数据要素开放共享应用的整体部署，逐步探索开展数据使用的各种创新活动，带动产业持续高质量发展；</w:t>
      </w:r>
      <w:r>
        <w:rPr>
          <w:rFonts w:hint="eastAsia" w:ascii="仿宋" w:hAnsi="仿宋" w:eastAsia="仿宋"/>
          <w:b/>
          <w:bCs/>
          <w:sz w:val="32"/>
          <w:szCs w:val="32"/>
        </w:rPr>
        <w:t>六是</w:t>
      </w:r>
      <w:r>
        <w:rPr>
          <w:rFonts w:hint="eastAsia" w:ascii="仿宋" w:hAnsi="仿宋" w:eastAsia="仿宋"/>
          <w:sz w:val="32"/>
          <w:szCs w:val="32"/>
        </w:rPr>
        <w:t>加大监管应用推广，积极申报国家局示范项目，重点聚焦建设全省统一的医疗器械唯一标识追溯体系，打造包含追溯数据应用、监管能力提升、三医联动创新、数字金融赋能产业发展等四位一体的创新监管新模式</w:t>
      </w:r>
      <w:r>
        <w:rPr>
          <w:rFonts w:hint="eastAsia" w:ascii="仿宋" w:hAnsi="仿宋" w:eastAsia="仿宋"/>
          <w:sz w:val="32"/>
          <w:szCs w:val="32"/>
          <w:lang w:eastAsia="zh-CN"/>
        </w:rPr>
        <w:t>，</w:t>
      </w:r>
      <w:r>
        <w:rPr>
          <w:rFonts w:hint="eastAsia" w:ascii="仿宋" w:hAnsi="仿宋" w:eastAsia="仿宋"/>
          <w:sz w:val="32"/>
          <w:szCs w:val="32"/>
          <w:lang w:val="en-US" w:eastAsia="zh-CN"/>
        </w:rPr>
        <w:t>进一步发挥宁夏药品智慧监管数字化应用区域优势，打造“智能、高效、便捷、惠民、优企”的药品智慧监管新能力。</w:t>
      </w:r>
    </w:p>
    <w:p>
      <w:pPr>
        <w:pStyle w:val="18"/>
        <w:numPr>
          <w:ilvl w:val="0"/>
          <w:numId w:val="0"/>
        </w:numPr>
        <w:spacing w:line="560" w:lineRule="exact"/>
        <w:ind w:firstLine="642" w:firstLineChars="200"/>
        <w:rPr>
          <w:rFonts w:hint="default"/>
          <w:color w:val="FF0000"/>
          <w:lang w:val="en-US"/>
        </w:rPr>
      </w:pPr>
      <w:r>
        <w:rPr>
          <w:rFonts w:hint="eastAsia"/>
          <w:color w:val="FF0000"/>
          <w:lang w:val="en-US" w:eastAsia="zh-CN"/>
        </w:rPr>
        <w:t>二、存在的问题</w:t>
      </w:r>
    </w:p>
    <w:p>
      <w:pPr>
        <w:ind w:firstLine="600"/>
        <w:rPr>
          <w:rFonts w:hint="eastAsia" w:ascii="仿宋" w:hAnsi="仿宋" w:eastAsia="仿宋"/>
          <w:b w:val="0"/>
          <w:bCs w:val="0"/>
          <w:color w:val="FF0000"/>
          <w:sz w:val="32"/>
          <w:szCs w:val="32"/>
          <w:lang w:val="en-US" w:eastAsia="zh-CN"/>
        </w:rPr>
      </w:pPr>
      <w:r>
        <w:rPr>
          <w:rFonts w:hint="eastAsia" w:ascii="仿宋" w:hAnsi="仿宋" w:eastAsia="仿宋"/>
          <w:b w:val="0"/>
          <w:bCs w:val="0"/>
          <w:color w:val="FF0000"/>
          <w:sz w:val="32"/>
          <w:szCs w:val="32"/>
          <w:lang w:val="en-US" w:eastAsia="zh-CN"/>
        </w:rPr>
        <w:t>宁夏药品智慧监管平台于2019年启动建设，至今已有5年时间，相较全国药品监管信息化发展而言宁夏起步相对较早，平台建设时虽然已经考虑并能部署了大数据等能力，但随着当前信息化建设前沿技术和数字化场景应用的不断发展，如大数据模型、AI人工智能分析应用、数据要素场景应用、数字创新实验室等新型技术形态应用于药品智慧监管的场景需求不断增强，现有技术架构以及部分业务系统已经无法满足国家局信息化建设的新要求，需通过现有平台不断的功能升级、技术迭代、应用新增等方式满足宁夏需求。</w:t>
      </w:r>
    </w:p>
    <w:p>
      <w:pPr>
        <w:ind w:firstLine="600"/>
        <w:rPr>
          <w:rFonts w:hint="default" w:ascii="仿宋" w:hAnsi="仿宋" w:eastAsia="仿宋"/>
          <w:b w:val="0"/>
          <w:bCs w:val="0"/>
          <w:color w:val="FF0000"/>
          <w:sz w:val="32"/>
          <w:szCs w:val="32"/>
          <w:lang w:val="en-US" w:eastAsia="zh-CN"/>
        </w:rPr>
      </w:pPr>
      <w:r>
        <w:rPr>
          <w:rFonts w:hint="eastAsia" w:ascii="仿宋" w:hAnsi="仿宋" w:eastAsia="仿宋"/>
          <w:b w:val="0"/>
          <w:bCs w:val="0"/>
          <w:color w:val="FF0000"/>
          <w:sz w:val="32"/>
          <w:szCs w:val="32"/>
          <w:lang w:val="en-US" w:eastAsia="zh-CN"/>
        </w:rPr>
        <w:t>目前宁夏回族自治区地方转移资金每年仅有50万元给予我局用于网络安全和信息化工作，而我局每年仅保障正常网络安全经费就需160万元，还有国家药监局每年布置的信息化任务也许大量经费，所以在地方转移资金经费严重不足的情况下，我局网络安全和信息化工作主要依靠中央转移资金。</w:t>
      </w:r>
    </w:p>
    <w:p>
      <w:pPr>
        <w:ind w:firstLine="600"/>
        <w:rPr>
          <w:rFonts w:hint="eastAsia" w:ascii="仿宋" w:hAnsi="仿宋" w:eastAsia="仿宋"/>
          <w:b w:val="0"/>
          <w:bCs w:val="0"/>
          <w:color w:val="FF0000"/>
          <w:sz w:val="32"/>
          <w:szCs w:val="32"/>
          <w:lang w:val="en-US" w:eastAsia="zh-CN"/>
        </w:rPr>
      </w:pPr>
      <w:r>
        <w:rPr>
          <w:rFonts w:hint="eastAsia" w:ascii="仿宋" w:hAnsi="仿宋" w:eastAsia="仿宋"/>
          <w:b w:val="0"/>
          <w:bCs w:val="0"/>
          <w:color w:val="FF0000"/>
          <w:sz w:val="32"/>
          <w:szCs w:val="32"/>
          <w:lang w:val="en-US" w:eastAsia="zh-CN"/>
        </w:rPr>
        <w:t>2024年初，我局结合宁夏回族自治区政府下发的“过紧日子”要求，在最小化满足信息化建设刚需的情况下，开展宁夏2024年网络安全和信息化工作。其中，包括2023年未完成验收信息化项目8个，需资金95.8831万元；2024年网络安全保障项目11个，需资金147.82万元；信息化建设项目3个，根据国家药监局要求新增建设（宁夏化妆品注册人备案人信息档案建设项目、宁夏药品上市许可持有人药品安全信用档案建设项目、宁夏医疗器械品种档案（境内第一、二类）和注册人备案人信用档案项目），需资金216.09万元；信息化系统升级项目2个，需资金26.9万元；系统优化提升项目1个（已申报国家局示范项目-医疗器械唯一标识UDI数据资源中心），计划支出资金90万元。综上所述，2024年宁夏共需信息化建设资金576.6931万元（含存续运维项目和新增项目）。</w:t>
      </w:r>
      <w:bookmarkStart w:id="0" w:name="_GoBack"/>
      <w:bookmarkEnd w:id="0"/>
    </w:p>
    <w:p>
      <w:pPr>
        <w:ind w:firstLine="600"/>
        <w:rPr>
          <w:rFonts w:hint="default" w:ascii="仿宋" w:hAnsi="仿宋" w:eastAsia="仿宋"/>
          <w:b w:val="0"/>
          <w:bCs w:val="0"/>
          <w:color w:val="FF0000"/>
          <w:sz w:val="32"/>
          <w:szCs w:val="32"/>
          <w:lang w:val="en-US" w:eastAsia="zh-CN"/>
        </w:rPr>
      </w:pPr>
      <w:r>
        <w:rPr>
          <w:rFonts w:hint="eastAsia" w:ascii="仿宋" w:hAnsi="仿宋" w:eastAsia="仿宋"/>
          <w:b w:val="0"/>
          <w:bCs w:val="0"/>
          <w:color w:val="FF0000"/>
          <w:sz w:val="32"/>
          <w:szCs w:val="32"/>
          <w:lang w:val="en-US" w:eastAsia="zh-CN"/>
        </w:rPr>
        <w:t>截止目前，受中央财政转移支付资金影响，宁夏局目前用于信息化建设的资金仅有240万元，已无法正常支付存续运维项目和新增必须建设的信息化项目，信息化发展形势严峻，不容乐观。</w:t>
      </w:r>
    </w:p>
    <w:p>
      <w:pPr>
        <w:pStyle w:val="18"/>
        <w:numPr>
          <w:ilvl w:val="0"/>
          <w:numId w:val="0"/>
        </w:numPr>
        <w:spacing w:line="560" w:lineRule="exact"/>
        <w:ind w:firstLine="642" w:firstLineChars="200"/>
        <w:rPr>
          <w:rFonts w:hint="default"/>
          <w:color w:val="FF0000"/>
          <w:lang w:val="en-US"/>
        </w:rPr>
      </w:pPr>
      <w:r>
        <w:rPr>
          <w:rFonts w:hint="eastAsia"/>
          <w:color w:val="FF0000"/>
          <w:lang w:val="en-US" w:eastAsia="zh-CN"/>
        </w:rPr>
        <w:t>三、提请国家局支持的事项</w:t>
      </w:r>
    </w:p>
    <w:p>
      <w:pPr>
        <w:ind w:firstLine="600"/>
        <w:rPr>
          <w:rFonts w:hint="eastAsia" w:ascii="仿宋" w:hAnsi="仿宋" w:eastAsia="仿宋"/>
          <w:b w:val="0"/>
          <w:bCs w:val="0"/>
          <w:color w:val="FF0000"/>
          <w:sz w:val="32"/>
          <w:szCs w:val="32"/>
          <w:lang w:val="en-US" w:eastAsia="zh-CN"/>
        </w:rPr>
      </w:pPr>
      <w:r>
        <w:rPr>
          <w:rFonts w:hint="eastAsia" w:ascii="仿宋" w:hAnsi="仿宋" w:eastAsia="仿宋"/>
          <w:b w:val="0"/>
          <w:bCs w:val="0"/>
          <w:color w:val="FF0000"/>
          <w:sz w:val="32"/>
          <w:szCs w:val="32"/>
          <w:lang w:val="en-US" w:eastAsia="zh-CN"/>
        </w:rPr>
        <w:t>1.提请国家局支持宁夏局在已经取得的宁夏医疗器械唯一标识追溯（UDI）试点工作成效的基础上，开展“基于医疗器械唯一标识（UDI）的智能监测与追溯服务”示范项目建设。支持宁夏以医疗器械唯一标识（UDI）监管应用场景出发，开展药品数字化应用研究，支持宁夏作为药品智慧监管数字化应用场景的示范省/试点省，为全国药品智慧监管工作开展贡献宁夏智慧；</w:t>
      </w:r>
    </w:p>
    <w:p>
      <w:pPr>
        <w:ind w:firstLine="600"/>
        <w:rPr>
          <w:rFonts w:hint="default" w:ascii="仿宋" w:hAnsi="仿宋" w:eastAsia="仿宋"/>
          <w:b w:val="0"/>
          <w:bCs w:val="0"/>
          <w:color w:val="FF0000"/>
          <w:sz w:val="32"/>
          <w:szCs w:val="32"/>
          <w:lang w:val="en-US" w:eastAsia="zh-CN"/>
        </w:rPr>
      </w:pPr>
      <w:r>
        <w:rPr>
          <w:rFonts w:hint="eastAsia" w:ascii="仿宋" w:hAnsi="仿宋" w:eastAsia="仿宋"/>
          <w:b w:val="0"/>
          <w:bCs w:val="0"/>
          <w:color w:val="FF0000"/>
          <w:sz w:val="32"/>
          <w:szCs w:val="32"/>
          <w:lang w:val="en-US" w:eastAsia="zh-CN"/>
        </w:rPr>
        <w:t>2.提请国家局考虑宁夏信息化建设资金成本匮乏情况，拨付专项资金支持宁夏相关工作顺利完成。</w:t>
      </w:r>
    </w:p>
    <w:p>
      <w:pPr>
        <w:ind w:firstLine="600"/>
        <w:rPr>
          <w:rFonts w:hint="eastAsia" w:ascii="仿宋" w:hAnsi="仿宋" w:eastAsia="仿宋"/>
          <w:b w:val="0"/>
          <w:bCs w:val="0"/>
          <w:sz w:val="32"/>
          <w:szCs w:val="32"/>
          <w:lang w:val="en-US" w:eastAsia="zh-CN"/>
        </w:rPr>
      </w:pPr>
    </w:p>
    <w:p>
      <w:pPr>
        <w:ind w:firstLine="600"/>
        <w:rPr>
          <w:rFonts w:hint="eastAsia" w:ascii="华文仿宋" w:hAnsi="华文仿宋" w:eastAsia="华文仿宋"/>
          <w:sz w:val="30"/>
          <w:szCs w:val="30"/>
        </w:rPr>
      </w:pPr>
      <w:r>
        <w:rPr>
          <w:rFonts w:hint="eastAsia" w:ascii="华文仿宋" w:hAnsi="华文仿宋" w:eastAsia="华文仿宋"/>
          <w:sz w:val="30"/>
          <w:szCs w:val="30"/>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F843B"/>
    <w:multiLevelType w:val="singleLevel"/>
    <w:tmpl w:val="9DFF843B"/>
    <w:lvl w:ilvl="0" w:tentative="0">
      <w:start w:val="1"/>
      <w:numFmt w:val="chineseCounting"/>
      <w:pStyle w:val="18"/>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hMzZlNTc1NDJjYzRlZGExMGUwYjg4NTY2YTVkMjcifQ=="/>
  </w:docVars>
  <w:rsids>
    <w:rsidRoot w:val="30887BCD"/>
    <w:rsid w:val="00025C13"/>
    <w:rsid w:val="00103069"/>
    <w:rsid w:val="001B58CE"/>
    <w:rsid w:val="002E6179"/>
    <w:rsid w:val="00634D3D"/>
    <w:rsid w:val="006D510D"/>
    <w:rsid w:val="00794421"/>
    <w:rsid w:val="008D4663"/>
    <w:rsid w:val="009714EE"/>
    <w:rsid w:val="009C7128"/>
    <w:rsid w:val="00B93C57"/>
    <w:rsid w:val="00E71D52"/>
    <w:rsid w:val="00E83FC3"/>
    <w:rsid w:val="00F71E6B"/>
    <w:rsid w:val="00FE0C74"/>
    <w:rsid w:val="06290C6E"/>
    <w:rsid w:val="0D0D646B"/>
    <w:rsid w:val="0E5F1E8F"/>
    <w:rsid w:val="113943C9"/>
    <w:rsid w:val="144A167C"/>
    <w:rsid w:val="170260C0"/>
    <w:rsid w:val="1C9B16D7"/>
    <w:rsid w:val="29338360"/>
    <w:rsid w:val="2A2830CB"/>
    <w:rsid w:val="2CCE0AE7"/>
    <w:rsid w:val="2DFC5BA0"/>
    <w:rsid w:val="30887BCD"/>
    <w:rsid w:val="33505740"/>
    <w:rsid w:val="3BF93707"/>
    <w:rsid w:val="3DF9513C"/>
    <w:rsid w:val="42112E88"/>
    <w:rsid w:val="42FD4423"/>
    <w:rsid w:val="4339449B"/>
    <w:rsid w:val="46F469B4"/>
    <w:rsid w:val="5186674D"/>
    <w:rsid w:val="5CDE5993"/>
    <w:rsid w:val="62D578C9"/>
    <w:rsid w:val="657EE391"/>
    <w:rsid w:val="6B1D51CB"/>
    <w:rsid w:val="6B674346"/>
    <w:rsid w:val="6BF7E666"/>
    <w:rsid w:val="735D3ACC"/>
    <w:rsid w:val="75FAA395"/>
    <w:rsid w:val="76FC67FF"/>
    <w:rsid w:val="77FB81A5"/>
    <w:rsid w:val="7B0B3DF9"/>
    <w:rsid w:val="7FCDB964"/>
    <w:rsid w:val="D6FFA784"/>
    <w:rsid w:val="DAFEFC19"/>
    <w:rsid w:val="E5FF6D2D"/>
    <w:rsid w:val="E97B6EFA"/>
    <w:rsid w:val="EABFBA1E"/>
    <w:rsid w:val="FBE9E6F3"/>
    <w:rsid w:val="FEEFFA2F"/>
    <w:rsid w:val="FFBB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01" w:firstLineChars="20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17"/>
    <w:qFormat/>
    <w:uiPriority w:val="0"/>
    <w:pPr>
      <w:spacing w:after="120"/>
    </w:pPr>
  </w:style>
  <w:style w:type="paragraph" w:styleId="5">
    <w:name w:val="footer"/>
    <w:basedOn w:val="1"/>
    <w:link w:val="24"/>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23"/>
    <w:qFormat/>
    <w:uiPriority w:val="0"/>
    <w:pPr>
      <w:tabs>
        <w:tab w:val="center" w:pos="4153"/>
        <w:tab w:val="right" w:pos="8306"/>
      </w:tabs>
      <w:snapToGrid w:val="0"/>
      <w:spacing w:line="240" w:lineRule="atLeast"/>
      <w:jc w:val="center"/>
    </w:pPr>
    <w:rPr>
      <w:sz w:val="18"/>
      <w:szCs w:val="18"/>
    </w:rPr>
  </w:style>
  <w:style w:type="paragraph" w:styleId="7">
    <w:name w:val="Title"/>
    <w:basedOn w:val="1"/>
    <w:next w:val="1"/>
    <w:link w:val="15"/>
    <w:qFormat/>
    <w:uiPriority w:val="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17babae4-54f0-44fa-a444-1068224df0ac"/>
    <w:basedOn w:val="7"/>
    <w:next w:val="12"/>
    <w:link w:val="14"/>
    <w:qFormat/>
    <w:uiPriority w:val="0"/>
    <w:pPr>
      <w:spacing w:before="0" w:after="0"/>
      <w:ind w:firstLine="803"/>
    </w:pPr>
    <w:rPr>
      <w:rFonts w:ascii="微软雅黑" w:hAnsi="微软雅黑"/>
      <w:color w:val="000000"/>
      <w:sz w:val="40"/>
    </w:rPr>
  </w:style>
  <w:style w:type="paragraph" w:customStyle="1" w:styleId="12">
    <w:name w:val="acbfdd8b-e11b-4d36-88ff-6049b138f862"/>
    <w:basedOn w:val="4"/>
    <w:link w:val="16"/>
    <w:qFormat/>
    <w:uiPriority w:val="0"/>
    <w:pPr>
      <w:spacing w:after="0"/>
      <w:jc w:val="left"/>
    </w:pPr>
    <w:rPr>
      <w:rFonts w:ascii="微软雅黑" w:hAnsi="微软雅黑" w:eastAsia="黑体"/>
      <w:color w:val="000000"/>
      <w:sz w:val="22"/>
    </w:rPr>
  </w:style>
  <w:style w:type="character" w:customStyle="1" w:styleId="13">
    <w:name w:val="标题 2 字符"/>
    <w:basedOn w:val="10"/>
    <w:link w:val="3"/>
    <w:qFormat/>
    <w:uiPriority w:val="0"/>
    <w:rPr>
      <w:rFonts w:ascii="Arial" w:hAnsi="Arial" w:eastAsia="黑体"/>
      <w:b/>
      <w:kern w:val="2"/>
      <w:sz w:val="32"/>
      <w:szCs w:val="24"/>
    </w:rPr>
  </w:style>
  <w:style w:type="character" w:customStyle="1" w:styleId="14">
    <w:name w:val="17babae4-54f0-44fa-a444-1068224df0ac 字符"/>
    <w:basedOn w:val="13"/>
    <w:link w:val="11"/>
    <w:qFormat/>
    <w:uiPriority w:val="0"/>
    <w:rPr>
      <w:rFonts w:ascii="微软雅黑" w:hAnsi="微软雅黑" w:eastAsiaTheme="majorEastAsia" w:cstheme="majorBidi"/>
      <w:bCs/>
      <w:color w:val="000000"/>
      <w:kern w:val="2"/>
      <w:sz w:val="40"/>
      <w:szCs w:val="32"/>
    </w:rPr>
  </w:style>
  <w:style w:type="character" w:customStyle="1" w:styleId="15">
    <w:name w:val="标题 字符"/>
    <w:basedOn w:val="10"/>
    <w:link w:val="7"/>
    <w:qFormat/>
    <w:uiPriority w:val="0"/>
    <w:rPr>
      <w:rFonts w:asciiTheme="majorHAnsi" w:hAnsiTheme="majorHAnsi" w:eastAsiaTheme="majorEastAsia" w:cstheme="majorBidi"/>
      <w:b/>
      <w:bCs/>
      <w:kern w:val="2"/>
      <w:sz w:val="32"/>
      <w:szCs w:val="32"/>
    </w:rPr>
  </w:style>
  <w:style w:type="character" w:customStyle="1" w:styleId="16">
    <w:name w:val="acbfdd8b-e11b-4d36-88ff-6049b138f862 字符"/>
    <w:basedOn w:val="13"/>
    <w:link w:val="12"/>
    <w:qFormat/>
    <w:uiPriority w:val="0"/>
    <w:rPr>
      <w:rFonts w:ascii="微软雅黑" w:hAnsi="微软雅黑" w:eastAsia="黑体"/>
      <w:b w:val="0"/>
      <w:color w:val="000000"/>
      <w:kern w:val="2"/>
      <w:sz w:val="22"/>
      <w:szCs w:val="24"/>
    </w:rPr>
  </w:style>
  <w:style w:type="character" w:customStyle="1" w:styleId="17">
    <w:name w:val="正文文本 字符"/>
    <w:basedOn w:val="10"/>
    <w:link w:val="4"/>
    <w:qFormat/>
    <w:uiPriority w:val="0"/>
    <w:rPr>
      <w:rFonts w:ascii="Calibri" w:hAnsi="Calibri"/>
      <w:kern w:val="2"/>
      <w:sz w:val="21"/>
      <w:szCs w:val="24"/>
    </w:rPr>
  </w:style>
  <w:style w:type="paragraph" w:customStyle="1" w:styleId="18">
    <w:name w:val="21bc9c4b-6a32-43e5-beaa-fd2d792c5735"/>
    <w:basedOn w:val="2"/>
    <w:next w:val="12"/>
    <w:link w:val="19"/>
    <w:qFormat/>
    <w:uiPriority w:val="0"/>
    <w:pPr>
      <w:numPr>
        <w:ilvl w:val="0"/>
        <w:numId w:val="1"/>
      </w:numPr>
      <w:spacing w:before="0" w:after="0" w:line="288" w:lineRule="auto"/>
      <w:jc w:val="left"/>
    </w:pPr>
    <w:rPr>
      <w:rFonts w:ascii="微软雅黑" w:hAnsi="微软雅黑" w:eastAsia="微软雅黑" w:cs="仿宋"/>
      <w:bCs w:val="0"/>
      <w:color w:val="000000"/>
      <w:sz w:val="32"/>
      <w:szCs w:val="32"/>
    </w:rPr>
  </w:style>
  <w:style w:type="character" w:customStyle="1" w:styleId="19">
    <w:name w:val="21bc9c4b-6a32-43e5-beaa-fd2d792c5735 字符"/>
    <w:basedOn w:val="10"/>
    <w:link w:val="18"/>
    <w:qFormat/>
    <w:uiPriority w:val="0"/>
    <w:rPr>
      <w:rFonts w:ascii="微软雅黑" w:hAnsi="微软雅黑" w:eastAsia="微软雅黑" w:cs="仿宋"/>
      <w:b/>
      <w:color w:val="000000"/>
      <w:kern w:val="44"/>
      <w:sz w:val="32"/>
      <w:szCs w:val="32"/>
    </w:rPr>
  </w:style>
  <w:style w:type="character" w:customStyle="1" w:styleId="20">
    <w:name w:val="标题 1 字符"/>
    <w:basedOn w:val="10"/>
    <w:link w:val="2"/>
    <w:qFormat/>
    <w:uiPriority w:val="0"/>
    <w:rPr>
      <w:rFonts w:ascii="Calibri" w:hAnsi="Calibri"/>
      <w:b/>
      <w:bCs/>
      <w:kern w:val="44"/>
      <w:sz w:val="44"/>
      <w:szCs w:val="44"/>
    </w:rPr>
  </w:style>
  <w:style w:type="paragraph" w:customStyle="1" w:styleId="21">
    <w:name w:val="修订1"/>
    <w:hidden/>
    <w:unhideWhenUsed/>
    <w:qFormat/>
    <w:uiPriority w:val="99"/>
    <w:rPr>
      <w:rFonts w:ascii="Calibri" w:hAnsi="Calibri" w:eastAsia="宋体" w:cs="Times New Roman"/>
      <w:kern w:val="2"/>
      <w:sz w:val="21"/>
      <w:szCs w:val="24"/>
      <w:lang w:val="en-US" w:eastAsia="zh-CN" w:bidi="ar-SA"/>
    </w:rPr>
  </w:style>
  <w:style w:type="paragraph" w:customStyle="1" w:styleId="22">
    <w:name w:val="修订2"/>
    <w:hidden/>
    <w:unhideWhenUsed/>
    <w:qFormat/>
    <w:uiPriority w:val="99"/>
    <w:rPr>
      <w:rFonts w:ascii="Calibri" w:hAnsi="Calibri" w:eastAsia="宋体" w:cs="Times New Roman"/>
      <w:kern w:val="2"/>
      <w:sz w:val="21"/>
      <w:szCs w:val="24"/>
      <w:lang w:val="en-US" w:eastAsia="zh-CN" w:bidi="ar-SA"/>
    </w:rPr>
  </w:style>
  <w:style w:type="character" w:customStyle="1" w:styleId="23">
    <w:name w:val="页眉 字符"/>
    <w:basedOn w:val="10"/>
    <w:link w:val="6"/>
    <w:qFormat/>
    <w:uiPriority w:val="0"/>
    <w:rPr>
      <w:rFonts w:ascii="Calibri" w:hAnsi="Calibri"/>
      <w:kern w:val="2"/>
      <w:sz w:val="18"/>
      <w:szCs w:val="18"/>
    </w:rPr>
  </w:style>
  <w:style w:type="character" w:customStyle="1" w:styleId="24">
    <w:name w:val="页脚 字符"/>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3299</Words>
  <Characters>3418</Characters>
  <Lines>26</Lines>
  <Paragraphs>7</Paragraphs>
  <TotalTime>82</TotalTime>
  <ScaleCrop>false</ScaleCrop>
  <LinksUpToDate>false</LinksUpToDate>
  <CharactersWithSpaces>3422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2024-03-19T02:40:00Z</dcterms:created>
  <dc:creator>.</dc:creator>
  <cp:lastModifiedBy>Laputa25</cp:lastModifiedBy>
  <dcterms:modified xsi:type="dcterms:W3CDTF">2024-09-18T17:23:34Z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2198AB31CCED43C2878FE34FA4918D10_13</vt:lpwstr>
  </property>
</Properties>
</file>